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C" w:rsidRPr="00D156BC" w:rsidRDefault="00D156BC" w:rsidP="00D1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156BC">
        <w:rPr>
          <w:rFonts w:ascii="Times New Roman" w:hAnsi="Times New Roman" w:cs="Times New Roman"/>
          <w:b/>
          <w:sz w:val="24"/>
          <w:szCs w:val="24"/>
        </w:rPr>
        <w:t>Философские проблемы науки и техники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56BC" w:rsidRPr="00D156BC" w:rsidRDefault="00D156BC" w:rsidP="00D156BC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BC">
        <w:rPr>
          <w:rFonts w:ascii="Times New Roman" w:hAnsi="Times New Roman" w:cs="Times New Roman"/>
          <w:b/>
          <w:sz w:val="24"/>
          <w:szCs w:val="24"/>
        </w:rPr>
        <w:t>Вопросы для итогового контроля</w:t>
      </w:r>
    </w:p>
    <w:p w:rsidR="00D156BC" w:rsidRPr="00D156BC" w:rsidRDefault="00D156BC" w:rsidP="00D15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ind w:left="426" w:hanging="426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Наука как способ духовного освоения действительности.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Наука как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социокультурный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феномен.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Соотношение философии и науки.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Классификация наук.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Научное и ненаучное знание. Знание и вера.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Особенности и принципы научного знания.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Основные аспекты бытия науки: познавательная деятельность, система знаний, социальный институт. Функции науки.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Становление первых форм теоретической науки. Античная натурфилософия. Аристотель о природе науки. 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Становление опытной науки в новоевропейской культуре. Эмпиризм и рационализм.</w:t>
      </w:r>
    </w:p>
    <w:p w:rsidR="00D156BC" w:rsidRPr="00D156BC" w:rsidRDefault="00D156BC" w:rsidP="00D156BC">
      <w:pPr>
        <w:keepNext/>
        <w:widowControl w:val="0"/>
        <w:numPr>
          <w:ilvl w:val="0"/>
          <w:numId w:val="1"/>
        </w:numPr>
        <w:suppressAutoHyphens/>
        <w:spacing w:after="0" w:line="200" w:lineRule="atLeast"/>
        <w:jc w:val="both"/>
        <w:outlineLvl w:val="6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Концепции философии науки в Новое время. Ф. Бэкон об основаниях опытно-экспериментальных наук.  «Новый органон»</w:t>
      </w:r>
    </w:p>
    <w:p w:rsidR="00D156BC" w:rsidRPr="00D156BC" w:rsidRDefault="00D156BC" w:rsidP="00D156BC">
      <w:pPr>
        <w:keepNext/>
        <w:widowControl w:val="0"/>
        <w:numPr>
          <w:ilvl w:val="0"/>
          <w:numId w:val="1"/>
        </w:numPr>
        <w:suppressAutoHyphens/>
        <w:spacing w:after="0" w:line="200" w:lineRule="atLeast"/>
        <w:jc w:val="both"/>
        <w:outlineLvl w:val="6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Р. Декарт об основных правилах научного метода. «Рассуждения о методе».</w:t>
      </w:r>
    </w:p>
    <w:p w:rsidR="00D156BC" w:rsidRPr="00D156BC" w:rsidRDefault="00D156BC" w:rsidP="00D156BC">
      <w:pPr>
        <w:keepNext/>
        <w:widowControl w:val="0"/>
        <w:numPr>
          <w:ilvl w:val="0"/>
          <w:numId w:val="1"/>
        </w:numPr>
        <w:suppressAutoHyphens/>
        <w:spacing w:after="0" w:line="200" w:lineRule="atLeast"/>
        <w:jc w:val="both"/>
        <w:outlineLvl w:val="6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proofErr w:type="gramStart"/>
      <w:r w:rsidRPr="00D156B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Немецкая классическая философия о природе научного знания (И. Кант о предметности и основаниях науки.</w:t>
      </w:r>
      <w:proofErr w:type="gramEnd"/>
      <w:r w:rsidRPr="00D156B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 Гегель о природе научного знания.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Синергетический подход в современном научном познании.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Проблема объекта и субъекта научного познания. 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Метатеоретический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уровень познания: картина мира, стиль мышления, типы рациональности.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Основания науки и их структура.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Социокультурные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основания науки.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Философские основания науки в их историческом аспекте.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Научные картины мира.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Специфика современной научной картины мира.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Идеалы и нормы научного исследования.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Научные революции как перестройка оснований науки. Типология научных революций. 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Глобальные революции и смена типов научной рациональности.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Становление научной теории. Проблема, гипотеза, теория.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Методы научного познания и их классификация.</w:t>
      </w:r>
      <w:r w:rsidRPr="00D156BC">
        <w:rPr>
          <w:rFonts w:ascii="Times New Roman" w:hAnsi="Times New Roman" w:cs="Times New Roman"/>
          <w:sz w:val="24"/>
          <w:szCs w:val="24"/>
        </w:rPr>
        <w:t xml:space="preserve"> Эвристическая роль математики в опытных науках.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Структура эмпирического знания. Методы эмпирического познания. Научный факт. Научный закон.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Структура теоретического знания. Методы теоретического познания. Научное описание, объяснение, предсказание. Функции научной теории.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Проблема истины в научном познании. Концепции истины.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Ценности и их роль в научном познании.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Этос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науки и его императивы: универсализм, коллективизм, бескорыстность, организованный скептицизм.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Проблема развития науки: основные подходы.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Классический позитивизм. О. Конт,  Д.Миль, Г. Спенсер.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Эмпириокритицизм. Э.Мах,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Р.Авенариус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«Принцип экономии мышления» 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Неопозитивизм — аналитическая философия Б.Рассел,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Л.Витгенштейн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Логический позитивизм и «Венская школа» о языке науки.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Концепция логики и роста научного знания. К.Поппер.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Концепция научных революций. Т.Кун. Кумулятивная модель развития науки.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Концепция исследовательских программ.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И.Лакатос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Методологический анархизм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П.Фейерабенда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Концепция личностного знания.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М.Полани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Селекционная модель науки.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С.Тулмин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В.И.Вернадский о «взрывах» научного творчества и факторах развития науки.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Герменевтическая эпистемология.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Ф.Шлейермахер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Г.Гадамер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Постмодернизм в науке. М.Фуко «Археология знаний».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Математизация знания, ее возможности и границы.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hAnsi="Times New Roman" w:cs="Times New Roman"/>
          <w:sz w:val="24"/>
          <w:szCs w:val="24"/>
        </w:rPr>
        <w:t>Предмет философии техники: техника как объект и как деятельность. Три аспекта техники: инженерный, антропологический и социальный</w:t>
      </w:r>
      <w:proofErr w:type="gramStart"/>
      <w:r w:rsidRPr="00D156BC">
        <w:rPr>
          <w:rFonts w:ascii="Times New Roman" w:hAnsi="Times New Roman" w:cs="Times New Roman"/>
          <w:sz w:val="24"/>
          <w:szCs w:val="24"/>
        </w:rPr>
        <w:t>.</w:t>
      </w: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proofErr w:type="gramEnd"/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hAnsi="Times New Roman" w:cs="Times New Roman"/>
          <w:sz w:val="24"/>
          <w:szCs w:val="24"/>
        </w:rPr>
        <w:t>Основные методологические подходы к вопросу о сущности техники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Эволюция техники как сферы человеческой деятельности.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Проблемы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гуманизации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экологизации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современной техники.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hAnsi="Times New Roman" w:cs="Times New Roman"/>
          <w:sz w:val="24"/>
          <w:szCs w:val="24"/>
        </w:rPr>
        <w:t>Этика и ответственность инженера-техника: мера ответственности за техногенный экологический ущерб.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Социальные последствия внедрения технических инноваций.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Моделирование и вычислительный эксперимент как интеллектуальное ядро информатики.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Взаимосвязь </w:t>
      </w:r>
      <w:proofErr w:type="gram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искусственного</w:t>
      </w:r>
      <w:proofErr w:type="gram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 естественного в информатике.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Нейрокомпьютинг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биокомпьютинг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аналогия между мышлением и распознаванием образов.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Информационное общество: основные теории, противоречивые тенденции развития.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Понятие информационной культуры. Информационные ресурсы и информационные технологии.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«Цифровое» и </w:t>
      </w:r>
      <w:proofErr w:type="spellStart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геоэкономическое</w:t>
      </w:r>
      <w:proofErr w:type="spellEnd"/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расслоение в информационном обществе.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BC">
        <w:rPr>
          <w:rFonts w:ascii="Times New Roman" w:hAnsi="Times New Roman" w:cs="Times New Roman"/>
          <w:sz w:val="24"/>
          <w:szCs w:val="24"/>
        </w:rPr>
        <w:t>Синергетическая парадигма «порядка и хаоса».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Концепция информационной безопасности: гуманитарная составляющая.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Информационно-коммуникативная реальность как междисциплинарная интегративная область.</w:t>
      </w:r>
    </w:p>
    <w:p w:rsidR="00D156BC" w:rsidRPr="00D156BC" w:rsidRDefault="00D156BC" w:rsidP="00D156BC">
      <w:pPr>
        <w:widowControl w:val="0"/>
        <w:numPr>
          <w:ilvl w:val="0"/>
          <w:numId w:val="1"/>
        </w:numPr>
        <w:suppressAutoHyphens/>
        <w:spacing w:after="0" w:line="2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156B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Компьютерная этика, инженерия знаний, проблемы интеллектуальной собственности.</w:t>
      </w:r>
    </w:p>
    <w:p w:rsidR="00D1306C" w:rsidRPr="00D156BC" w:rsidRDefault="00D1306C" w:rsidP="00D156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306C" w:rsidRPr="00D1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7E8"/>
    <w:multiLevelType w:val="hybridMultilevel"/>
    <w:tmpl w:val="A63AA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56BC"/>
    <w:rsid w:val="00D1306C"/>
    <w:rsid w:val="00D1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2016-11-14T13:02:00Z</dcterms:created>
  <dcterms:modified xsi:type="dcterms:W3CDTF">2016-11-14T13:03:00Z</dcterms:modified>
</cp:coreProperties>
</file>